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3515"/>
        <w:gridCol w:w="5556"/>
      </w:tblGrid>
      <w:tr>
        <w:tc>
          <w:tcPr>
            <w:tcW w:type="dxa" w:w="4535"/>
          </w:tcPr>
          <w:p>
            <w:pPr>
              <w:jc w:val="center"/>
            </w:pPr>
            <w:r/>
            <w:r>
              <w:rPr>
                <w:sz w:val="24"/>
              </w:rPr>
              <w:t>HỘI ĐỒNG NHÂN DÂN</w:t>
            </w:r>
          </w:p>
          <w:p>
            <w:pPr>
              <w:jc w:val="center"/>
            </w:pPr>
            <w:r>
              <w:rPr>
                <w:b/>
                <w:sz w:val="24"/>
              </w:rPr>
              <w:t>THÀNH PHỐ GIẢ</w:t>
            </w:r>
          </w:p>
          <w:p>
            <w:pPr>
              <w:jc w:val="center"/>
            </w:pPr>
            <w:r>
              <w:rPr>
                <w:sz w:val="22"/>
              </w:rPr>
              <w:t>_______________</w:t>
            </w:r>
          </w:p>
        </w:tc>
        <w:tc>
          <w:tcPr>
            <w:tcW w:type="dxa" w:w="4535"/>
          </w:tcPr>
          <w:p>
            <w:pPr>
              <w:jc w:val="center"/>
            </w:pPr>
            <w:r>
              <w:rPr>
                <w:b/>
                <w:sz w:val="24"/>
              </w:rPr>
              <w:t>CỘNG HÒA XÃ HỘI CHỦ NGHĨA VIỆT NAM</w:t>
            </w:r>
          </w:p>
          <w:p>
            <w:pPr>
              <w:jc w:val="center"/>
            </w:pPr>
            <w:r>
              <w:rPr>
                <w:b/>
                <w:sz w:val="26"/>
              </w:rPr>
              <w:t>Độc lập - Tự do - Hạnh phúc</w:t>
            </w:r>
          </w:p>
          <w:p>
            <w:pPr>
              <w:jc w:val="center"/>
            </w:pPr>
            <w:r>
              <w:rPr>
                <w:sz w:val="22"/>
              </w:rPr>
              <w:t>______________________________</w:t>
            </w:r>
          </w:p>
        </w:tc>
      </w:tr>
      <w:tr>
        <w:tc>
          <w:tcPr>
            <w:tcW w:type="dxa" w:w="4535"/>
          </w:tcPr>
          <w:p>
            <w:pPr>
              <w:jc w:val="center"/>
            </w:pPr>
            <w:r>
              <w:rPr>
                <w:sz w:val="24"/>
              </w:rPr>
              <w:t>Số:      /2026/NQ-HĐND</w:t>
            </w:r>
          </w:p>
        </w:tc>
        <w:tc>
          <w:tcPr>
            <w:tcW w:type="dxa" w:w="4535"/>
          </w:tcPr>
          <w:p>
            <w:pPr>
              <w:jc w:val="center"/>
            </w:pPr>
            <w:r>
              <w:rPr>
                <w:i/>
                <w:sz w:val="25"/>
              </w:rPr>
              <w:t>TP. Giả, ngày      tháng      năm 2026</w:t>
            </w:r>
          </w:p>
        </w:tc>
      </w:tr>
    </w:tbl>
    <w:p>
      <w:pPr>
        <w:spacing w:after="80"/>
        <w:jc w:val="center"/>
      </w:pPr>
      <w:r>
        <w:rPr>
          <w:rFonts w:ascii="Times New Roman" w:hAnsi="Times New Roman"/>
          <w:b/>
          <w:i/>
          <w:sz w:val="24"/>
        </w:rPr>
        <w:t>DỰ THẢO (LẤY Ý KIẾN)</w:t>
      </w:r>
    </w:p>
    <w:p/>
    <w:p>
      <w:pPr>
        <w:spacing w:after="80"/>
        <w:jc w:val="center"/>
      </w:pPr>
      <w:r>
        <w:rPr>
          <w:rFonts w:ascii="Times New Roman" w:hAnsi="Times New Roman"/>
          <w:b/>
          <w:i w:val="0"/>
          <w:sz w:val="28"/>
        </w:rPr>
        <w:t>NGHỊ QUYẾT</w:t>
      </w:r>
    </w:p>
    <w:p>
      <w:pPr>
        <w:spacing w:after="80"/>
        <w:jc w:val="center"/>
      </w:pPr>
      <w:r>
        <w:rPr>
          <w:rFonts w:ascii="Times New Roman" w:hAnsi="Times New Roman"/>
          <w:b/>
          <w:i w:val="0"/>
          <w:sz w:val="26"/>
        </w:rPr>
        <w:t>Quy định mức thu học phí đối với cơ sở giáo dục mầm non, giáo dục phổ thông công lập trên địa bàn Thành phố Giả năm học 2026-2027</w:t>
      </w:r>
    </w:p>
    <w:p/>
    <w:p>
      <w:pPr>
        <w:spacing w:after="80"/>
        <w:jc w:val="center"/>
      </w:pPr>
      <w:r>
        <w:rPr>
          <w:rFonts w:ascii="Times New Roman" w:hAnsi="Times New Roman"/>
          <w:b/>
          <w:i w:val="0"/>
          <w:sz w:val="26"/>
        </w:rPr>
        <w:t>HỘI ĐỒNG NHÂN DÂN THÀNH PHỐ GIẢ</w:t>
      </w:r>
    </w:p>
    <w:p/>
    <w:p>
      <w:pPr>
        <w:spacing w:after="80"/>
        <w:ind w:firstLine="680"/>
        <w:jc w:val="both"/>
      </w:pPr>
      <w:r>
        <w:rPr>
          <w:rFonts w:ascii="Times New Roman" w:hAnsi="Times New Roman"/>
          <w:b w:val="0"/>
          <w:i/>
          <w:sz w:val="26"/>
        </w:rPr>
        <w:t>Căn cứ Luật Tổ chức chính quyền địa phương năm 2025;</w:t>
      </w:r>
    </w:p>
    <w:p>
      <w:pPr>
        <w:spacing w:after="80"/>
        <w:ind w:firstLine="680"/>
        <w:jc w:val="both"/>
      </w:pPr>
      <w:r>
        <w:rPr>
          <w:rFonts w:ascii="Times New Roman" w:hAnsi="Times New Roman"/>
          <w:b w:val="0"/>
          <w:i/>
          <w:sz w:val="26"/>
        </w:rPr>
        <w:t>Căn cứ Luật Giáo dục năm 2019;</w:t>
      </w:r>
    </w:p>
    <w:p>
      <w:pPr>
        <w:spacing w:after="80"/>
        <w:ind w:firstLine="680"/>
        <w:jc w:val="both"/>
      </w:pPr>
      <w:r>
        <w:rPr>
          <w:rFonts w:ascii="Times New Roman" w:hAnsi="Times New Roman"/>
          <w:b w:val="0"/>
          <w:i/>
          <w:sz w:val="26"/>
        </w:rPr>
        <w:t>Căn cứ Nghị định số 81/2021/NĐ-CP ngày 27/8/2021 của Chính phủ quy định về cơ chế thu, quản lý học phí đối với cơ sở giáo dục thuộc hệ thống giáo dục quốc dân;</w:t>
      </w:r>
    </w:p>
    <w:p>
      <w:pPr>
        <w:spacing w:after="80"/>
        <w:ind w:firstLine="680"/>
        <w:jc w:val="both"/>
      </w:pPr>
      <w:r>
        <w:rPr>
          <w:rFonts w:ascii="Times New Roman" w:hAnsi="Times New Roman"/>
          <w:b w:val="0"/>
          <w:i/>
          <w:sz w:val="26"/>
        </w:rPr>
        <w:t>Xét Tờ trình số      /TTr-UBND ngày      của Ủy ban nhân dân Thành phố Giả;</w:t>
      </w:r>
    </w:p>
    <w:p/>
    <w:p>
      <w:pPr>
        <w:spacing w:after="80"/>
        <w:jc w:val="center"/>
      </w:pPr>
      <w:r>
        <w:rPr>
          <w:rFonts w:ascii="Times New Roman" w:hAnsi="Times New Roman"/>
          <w:b/>
          <w:i w:val="0"/>
          <w:sz w:val="26"/>
        </w:rPr>
        <w:t>QUYẾT NGHỊ:</w:t>
      </w:r>
    </w:p>
    <w:p/>
    <w:p>
      <w:pPr>
        <w:spacing w:after="80"/>
        <w:ind w:firstLine="680"/>
      </w:pPr>
      <w:r>
        <w:rPr>
          <w:rFonts w:ascii="Times New Roman" w:hAnsi="Times New Roman"/>
          <w:b/>
          <w:i w:val="0"/>
          <w:sz w:val="26"/>
        </w:rPr>
        <w:t>Điều 1. Phạm vi điều chỉnh, đối tượng áp dụng</w:t>
      </w:r>
    </w:p>
    <w:p>
      <w:pPr>
        <w:spacing w:after="80"/>
        <w:ind w:firstLine="680"/>
        <w:jc w:val="both"/>
      </w:pPr>
      <w:r>
        <w:rPr>
          <w:rFonts w:ascii="Times New Roman" w:hAnsi="Times New Roman"/>
          <w:b w:val="0"/>
          <w:i w:val="0"/>
          <w:sz w:val="26"/>
        </w:rPr>
        <w:t>Nghị quyết này quy định mức thu học phí đối với cơ sở giáo dục mầm non, giáo dục phổ thông công lập chưa tự bảo đảm chi thường xuyên trên địa bàn Thành phố Giả năm học 2026-2027.</w:t>
      </w:r>
    </w:p>
    <w:p>
      <w:pPr>
        <w:spacing w:after="80"/>
        <w:ind w:firstLine="680"/>
      </w:pPr>
      <w:r>
        <w:rPr>
          <w:rFonts w:ascii="Times New Roman" w:hAnsi="Times New Roman"/>
          <w:b/>
          <w:i w:val="0"/>
          <w:sz w:val="26"/>
        </w:rPr>
        <w:t>Điều 2. Mức thu học phí năm học 2026-2027</w:t>
      </w:r>
    </w:p>
    <w:p>
      <w:pPr>
        <w:spacing w:after="80"/>
        <w:ind w:firstLine="680"/>
        <w:jc w:val="both"/>
      </w:pPr>
      <w:r>
        <w:rPr>
          <w:rFonts w:ascii="Times New Roman" w:hAnsi="Times New Roman"/>
          <w:b w:val="0"/>
          <w:i w:val="0"/>
          <w:sz w:val="26"/>
        </w:rPr>
        <w:t>Mức thu học phí đối với hình thức học trực tiếp được quy định như sau:</w:t>
      </w:r>
    </w:p>
    <w:tbl>
      <w:tblPr>
        <w:tblStyle w:val="TableGrid"/>
        <w:tblW w:type="auto" w:w="0"/>
        <w:tblLook w:firstColumn="1" w:firstRow="1" w:lastColumn="0" w:lastRow="0" w:noHBand="0" w:noVBand="1" w:val="04A0"/>
      </w:tblPr>
      <w:tblGrid>
        <w:gridCol w:w="1814"/>
        <w:gridCol w:w="1814"/>
        <w:gridCol w:w="1814"/>
        <w:gridCol w:w="1814"/>
        <w:gridCol w:w="1814"/>
      </w:tblGrid>
      <w:tr>
        <w:tc>
          <w:tcPr>
            <w:tcW w:type="dxa" w:w="567"/>
          </w:tcPr>
          <w:p>
            <w:pPr>
              <w:spacing w:after="0"/>
              <w:jc w:val="center"/>
            </w:pPr>
            <w:r/>
            <w:r>
              <w:rPr>
                <w:rFonts w:ascii="Times New Roman" w:hAnsi="Times New Roman"/>
                <w:b/>
                <w:sz w:val="22"/>
              </w:rPr>
              <w:t>STT</w:t>
            </w:r>
          </w:p>
        </w:tc>
        <w:tc>
          <w:tcPr>
            <w:tcW w:type="dxa" w:w="2948"/>
          </w:tcPr>
          <w:p>
            <w:pPr>
              <w:spacing w:after="0"/>
              <w:jc w:val="center"/>
            </w:pPr>
            <w:r/>
            <w:r>
              <w:rPr>
                <w:rFonts w:ascii="Times New Roman" w:hAnsi="Times New Roman"/>
                <w:b/>
                <w:sz w:val="22"/>
              </w:rPr>
              <w:t>Cấp học</w:t>
            </w:r>
          </w:p>
        </w:tc>
        <w:tc>
          <w:tcPr>
            <w:tcW w:type="dxa" w:w="1928"/>
          </w:tcPr>
          <w:p>
            <w:pPr>
              <w:spacing w:after="0"/>
              <w:jc w:val="center"/>
            </w:pPr>
            <w:r/>
            <w:r>
              <w:rPr>
                <w:rFonts w:ascii="Times New Roman" w:hAnsi="Times New Roman"/>
                <w:b/>
                <w:sz w:val="22"/>
              </w:rPr>
              <w:t>Mức thu (đồng/học sinh/tháng)</w:t>
            </w:r>
          </w:p>
        </w:tc>
        <w:tc>
          <w:tcPr>
            <w:tcW w:type="dxa" w:w="1134"/>
          </w:tcPr>
          <w:p>
            <w:pPr>
              <w:spacing w:after="0"/>
              <w:jc w:val="center"/>
            </w:pPr>
            <w:r/>
            <w:r>
              <w:rPr>
                <w:rFonts w:ascii="Times New Roman" w:hAnsi="Times New Roman"/>
                <w:b/>
                <w:sz w:val="22"/>
              </w:rPr>
              <w:t>Số tháng thu</w:t>
            </w:r>
          </w:p>
        </w:tc>
        <w:tc>
          <w:tcPr>
            <w:tcW w:type="dxa" w:w="2494"/>
          </w:tcPr>
          <w:p>
            <w:pPr>
              <w:spacing w:after="0"/>
              <w:jc w:val="center"/>
            </w:pPr>
            <w:r/>
            <w:r>
              <w:rPr>
                <w:rFonts w:ascii="Times New Roman" w:hAnsi="Times New Roman"/>
                <w:b/>
                <w:sz w:val="22"/>
              </w:rPr>
              <w:t>Ghi chú</w:t>
            </w:r>
          </w:p>
        </w:tc>
      </w:tr>
      <w:tr>
        <w:tc>
          <w:tcPr>
            <w:tcW w:type="dxa" w:w="567"/>
          </w:tcPr>
          <w:p>
            <w:pPr>
              <w:spacing w:after="0"/>
            </w:pPr>
            <w:r/>
            <w:r>
              <w:rPr>
                <w:rFonts w:ascii="Times New Roman" w:hAnsi="Times New Roman"/>
                <w:sz w:val="22"/>
              </w:rPr>
              <w:t>1</w:t>
            </w:r>
          </w:p>
        </w:tc>
        <w:tc>
          <w:tcPr>
            <w:tcW w:type="dxa" w:w="2948"/>
          </w:tcPr>
          <w:p>
            <w:pPr>
              <w:spacing w:after="0"/>
            </w:pPr>
            <w:r/>
            <w:r>
              <w:rPr>
                <w:rFonts w:ascii="Times New Roman" w:hAnsi="Times New Roman"/>
                <w:sz w:val="22"/>
              </w:rPr>
              <w:t>Giáo dục mầm non (nhà trẻ, mẫu giáo)</w:t>
            </w:r>
          </w:p>
        </w:tc>
        <w:tc>
          <w:tcPr>
            <w:tcW w:type="dxa" w:w="1928"/>
          </w:tcPr>
          <w:p>
            <w:pPr>
              <w:spacing w:after="0"/>
            </w:pPr>
            <w:r/>
            <w:r>
              <w:rPr>
                <w:rFonts w:ascii="Times New Roman" w:hAnsi="Times New Roman"/>
                <w:sz w:val="22"/>
              </w:rPr>
              <w:t>100.000</w:t>
            </w:r>
          </w:p>
        </w:tc>
        <w:tc>
          <w:tcPr>
            <w:tcW w:type="dxa" w:w="1134"/>
          </w:tcPr>
          <w:p>
            <w:pPr>
              <w:spacing w:after="0"/>
            </w:pPr>
            <w:r/>
            <w:r>
              <w:rPr>
                <w:rFonts w:ascii="Times New Roman" w:hAnsi="Times New Roman"/>
                <w:sz w:val="22"/>
              </w:rPr>
              <w:t>9 tháng</w:t>
            </w:r>
          </w:p>
        </w:tc>
        <w:tc>
          <w:tcPr>
            <w:tcW w:type="dxa" w:w="2494"/>
          </w:tcPr>
          <w:p>
            <w:pPr>
              <w:spacing w:after="0"/>
            </w:pPr>
            <w:r/>
            <w:r>
              <w:rPr>
                <w:rFonts w:ascii="Times New Roman" w:hAnsi="Times New Roman"/>
                <w:sz w:val="22"/>
              </w:rPr>
              <w:t>Không thu trong thời gian nghỉ hè</w:t>
            </w:r>
          </w:p>
        </w:tc>
      </w:tr>
      <w:tr>
        <w:tc>
          <w:tcPr>
            <w:tcW w:type="dxa" w:w="567"/>
          </w:tcPr>
          <w:p>
            <w:pPr>
              <w:spacing w:after="0"/>
            </w:pPr>
            <w:r/>
            <w:r>
              <w:rPr>
                <w:rFonts w:ascii="Times New Roman" w:hAnsi="Times New Roman"/>
                <w:sz w:val="22"/>
              </w:rPr>
              <w:t>2</w:t>
            </w:r>
          </w:p>
        </w:tc>
        <w:tc>
          <w:tcPr>
            <w:tcW w:type="dxa" w:w="2948"/>
          </w:tcPr>
          <w:p>
            <w:pPr>
              <w:spacing w:after="0"/>
            </w:pPr>
            <w:r/>
            <w:r>
              <w:rPr>
                <w:rFonts w:ascii="Times New Roman" w:hAnsi="Times New Roman"/>
                <w:sz w:val="22"/>
              </w:rPr>
              <w:t>Giáo dục tiểu học</w:t>
            </w:r>
          </w:p>
        </w:tc>
        <w:tc>
          <w:tcPr>
            <w:tcW w:type="dxa" w:w="1928"/>
          </w:tcPr>
          <w:p>
            <w:pPr>
              <w:spacing w:after="0"/>
            </w:pPr>
            <w:r/>
            <w:r>
              <w:rPr>
                <w:rFonts w:ascii="Times New Roman" w:hAnsi="Times New Roman"/>
                <w:sz w:val="22"/>
              </w:rPr>
              <w:t>Không thu học phí</w:t>
            </w:r>
          </w:p>
        </w:tc>
        <w:tc>
          <w:tcPr>
            <w:tcW w:type="dxa" w:w="1134"/>
          </w:tcPr>
          <w:p>
            <w:pPr>
              <w:spacing w:after="0"/>
            </w:pPr>
            <w:r/>
            <w:r>
              <w:rPr>
                <w:rFonts w:ascii="Times New Roman" w:hAnsi="Times New Roman"/>
                <w:sz w:val="22"/>
              </w:rPr>
              <w:t>-</w:t>
            </w:r>
          </w:p>
        </w:tc>
        <w:tc>
          <w:tcPr>
            <w:tcW w:type="dxa" w:w="2494"/>
          </w:tcPr>
          <w:p>
            <w:pPr>
              <w:spacing w:after="0"/>
            </w:pPr>
            <w:r/>
            <w:r>
              <w:rPr>
                <w:rFonts w:ascii="Times New Roman" w:hAnsi="Times New Roman"/>
                <w:sz w:val="22"/>
              </w:rPr>
              <w:t>Theo quy định của Luật Giáo dục năm 2019</w:t>
            </w:r>
          </w:p>
        </w:tc>
      </w:tr>
      <w:tr>
        <w:tc>
          <w:tcPr>
            <w:tcW w:type="dxa" w:w="567"/>
          </w:tcPr>
          <w:p>
            <w:pPr>
              <w:spacing w:after="0"/>
            </w:pPr>
            <w:r/>
            <w:r>
              <w:rPr>
                <w:rFonts w:ascii="Times New Roman" w:hAnsi="Times New Roman"/>
                <w:sz w:val="22"/>
              </w:rPr>
              <w:t>3</w:t>
            </w:r>
          </w:p>
        </w:tc>
        <w:tc>
          <w:tcPr>
            <w:tcW w:type="dxa" w:w="2948"/>
          </w:tcPr>
          <w:p>
            <w:pPr>
              <w:spacing w:after="0"/>
            </w:pPr>
            <w:r/>
            <w:r>
              <w:rPr>
                <w:rFonts w:ascii="Times New Roman" w:hAnsi="Times New Roman"/>
                <w:sz w:val="22"/>
              </w:rPr>
              <w:t>Trung học cơ sở</w:t>
            </w:r>
          </w:p>
        </w:tc>
        <w:tc>
          <w:tcPr>
            <w:tcW w:type="dxa" w:w="1928"/>
          </w:tcPr>
          <w:p>
            <w:pPr>
              <w:spacing w:after="0"/>
            </w:pPr>
            <w:r/>
            <w:r>
              <w:rPr>
                <w:rFonts w:ascii="Times New Roman" w:hAnsi="Times New Roman"/>
                <w:sz w:val="22"/>
              </w:rPr>
              <w:t>60.000</w:t>
            </w:r>
          </w:p>
        </w:tc>
        <w:tc>
          <w:tcPr>
            <w:tcW w:type="dxa" w:w="1134"/>
          </w:tcPr>
          <w:p>
            <w:pPr>
              <w:spacing w:after="0"/>
            </w:pPr>
            <w:r/>
            <w:r>
              <w:rPr>
                <w:rFonts w:ascii="Times New Roman" w:hAnsi="Times New Roman"/>
                <w:sz w:val="22"/>
              </w:rPr>
              <w:t>9 tháng</w:t>
            </w:r>
          </w:p>
        </w:tc>
        <w:tc>
          <w:tcPr>
            <w:tcW w:type="dxa" w:w="2494"/>
          </w:tcPr>
          <w:p>
            <w:pPr>
              <w:spacing w:after="0"/>
            </w:pPr>
            <w:r/>
            <w:r>
              <w:rPr>
                <w:rFonts w:ascii="Times New Roman" w:hAnsi="Times New Roman"/>
                <w:sz w:val="22"/>
              </w:rPr>
              <w:t>Áp dụng thống nhất trên địa bàn thành phố</w:t>
            </w:r>
          </w:p>
        </w:tc>
      </w:tr>
      <w:tr>
        <w:tc>
          <w:tcPr>
            <w:tcW w:type="dxa" w:w="567"/>
          </w:tcPr>
          <w:p>
            <w:pPr>
              <w:spacing w:after="0"/>
            </w:pPr>
            <w:r/>
            <w:r>
              <w:rPr>
                <w:rFonts w:ascii="Times New Roman" w:hAnsi="Times New Roman"/>
                <w:sz w:val="22"/>
              </w:rPr>
              <w:t>4</w:t>
            </w:r>
          </w:p>
        </w:tc>
        <w:tc>
          <w:tcPr>
            <w:tcW w:type="dxa" w:w="2948"/>
          </w:tcPr>
          <w:p>
            <w:pPr>
              <w:spacing w:after="0"/>
            </w:pPr>
            <w:r/>
            <w:r>
              <w:rPr>
                <w:rFonts w:ascii="Times New Roman" w:hAnsi="Times New Roman"/>
                <w:sz w:val="22"/>
              </w:rPr>
              <w:t>Trung học phổ thông</w:t>
            </w:r>
          </w:p>
        </w:tc>
        <w:tc>
          <w:tcPr>
            <w:tcW w:type="dxa" w:w="1928"/>
          </w:tcPr>
          <w:p>
            <w:pPr>
              <w:spacing w:after="0"/>
            </w:pPr>
            <w:r/>
            <w:r>
              <w:rPr>
                <w:rFonts w:ascii="Times New Roman" w:hAnsi="Times New Roman"/>
                <w:sz w:val="22"/>
              </w:rPr>
              <w:t>120.000</w:t>
            </w:r>
          </w:p>
        </w:tc>
        <w:tc>
          <w:tcPr>
            <w:tcW w:type="dxa" w:w="1134"/>
          </w:tcPr>
          <w:p>
            <w:pPr>
              <w:spacing w:after="0"/>
            </w:pPr>
            <w:r/>
            <w:r>
              <w:rPr>
                <w:rFonts w:ascii="Times New Roman" w:hAnsi="Times New Roman"/>
                <w:sz w:val="22"/>
              </w:rPr>
              <w:t>9 tháng</w:t>
            </w:r>
          </w:p>
        </w:tc>
        <w:tc>
          <w:tcPr>
            <w:tcW w:type="dxa" w:w="2494"/>
          </w:tcPr>
          <w:p>
            <w:pPr>
              <w:spacing w:after="0"/>
            </w:pPr>
            <w:r/>
            <w:r>
              <w:rPr>
                <w:rFonts w:ascii="Times New Roman" w:hAnsi="Times New Roman"/>
                <w:sz w:val="22"/>
              </w:rPr>
              <w:t>Áp dụng cho cả Trường THPT Giả Định</w:t>
            </w:r>
          </w:p>
        </w:tc>
      </w:tr>
      <w:tr>
        <w:tc>
          <w:tcPr>
            <w:tcW w:type="dxa" w:w="567"/>
          </w:tcPr>
          <w:p>
            <w:pPr>
              <w:spacing w:after="0"/>
            </w:pPr>
            <w:r/>
            <w:r>
              <w:rPr>
                <w:rFonts w:ascii="Times New Roman" w:hAnsi="Times New Roman"/>
                <w:sz w:val="22"/>
              </w:rPr>
              <w:t>5</w:t>
            </w:r>
          </w:p>
        </w:tc>
        <w:tc>
          <w:tcPr>
            <w:tcW w:type="dxa" w:w="2948"/>
          </w:tcPr>
          <w:p>
            <w:pPr>
              <w:spacing w:after="0"/>
            </w:pPr>
            <w:r/>
            <w:r>
              <w:rPr>
                <w:rFonts w:ascii="Times New Roman" w:hAnsi="Times New Roman"/>
                <w:sz w:val="22"/>
              </w:rPr>
              <w:t>Giáo dục thường xuyên cấp trung học phổ thông</w:t>
            </w:r>
          </w:p>
        </w:tc>
        <w:tc>
          <w:tcPr>
            <w:tcW w:type="dxa" w:w="1928"/>
          </w:tcPr>
          <w:p>
            <w:pPr>
              <w:spacing w:after="0"/>
            </w:pPr>
            <w:r/>
            <w:r>
              <w:rPr>
                <w:rFonts w:ascii="Times New Roman" w:hAnsi="Times New Roman"/>
                <w:sz w:val="22"/>
              </w:rPr>
              <w:t>120.000</w:t>
            </w:r>
          </w:p>
        </w:tc>
        <w:tc>
          <w:tcPr>
            <w:tcW w:type="dxa" w:w="1134"/>
          </w:tcPr>
          <w:p>
            <w:pPr>
              <w:spacing w:after="0"/>
            </w:pPr>
            <w:r/>
            <w:r>
              <w:rPr>
                <w:rFonts w:ascii="Times New Roman" w:hAnsi="Times New Roman"/>
                <w:sz w:val="22"/>
              </w:rPr>
              <w:t>9 tháng</w:t>
            </w:r>
          </w:p>
        </w:tc>
        <w:tc>
          <w:tcPr>
            <w:tcW w:type="dxa" w:w="2494"/>
          </w:tcPr>
          <w:p>
            <w:pPr>
              <w:spacing w:after="0"/>
            </w:pPr>
            <w:r/>
            <w:r>
              <w:rPr>
                <w:rFonts w:ascii="Times New Roman" w:hAnsi="Times New Roman"/>
                <w:sz w:val="22"/>
              </w:rPr>
              <w:t>Bằng mức thu của trung học phổ thông</w:t>
            </w:r>
          </w:p>
        </w:tc>
      </w:tr>
    </w:tbl>
    <w:p/>
    <w:p>
      <w:pPr>
        <w:spacing w:after="80"/>
        <w:ind w:firstLine="680"/>
        <w:jc w:val="both"/>
      </w:pPr>
      <w:r>
        <w:rPr>
          <w:rFonts w:ascii="Times New Roman" w:hAnsi="Times New Roman"/>
          <w:b w:val="0"/>
          <w:i w:val="0"/>
          <w:sz w:val="26"/>
        </w:rPr>
        <w:t>Mức thu học phí đối với hình thức học trực tuyến bằng 75% mức thu học phí học trực tiếp tương ứng nêu trên. Học phí được thu theo tháng; nhà trường có thể thu theo học kỳ hoặc cả năm học nếu cha mẹ học sinh tự nguyện đề nghị.</w:t>
      </w:r>
    </w:p>
    <w:p>
      <w:pPr>
        <w:spacing w:after="80"/>
        <w:ind w:firstLine="680"/>
      </w:pPr>
      <w:r>
        <w:rPr>
          <w:rFonts w:ascii="Times New Roman" w:hAnsi="Times New Roman"/>
          <w:b/>
          <w:i w:val="0"/>
          <w:sz w:val="26"/>
        </w:rPr>
        <w:t>Điều 3. Chính sách miễn, giảm học phí và hỗ trợ chi phí học tập</w:t>
      </w:r>
    </w:p>
    <w:p>
      <w:pPr>
        <w:spacing w:after="80"/>
        <w:ind w:firstLine="680"/>
        <w:jc w:val="both"/>
      </w:pPr>
      <w:r>
        <w:rPr>
          <w:rFonts w:ascii="Times New Roman" w:hAnsi="Times New Roman"/>
          <w:b w:val="0"/>
          <w:i w:val="0"/>
          <w:sz w:val="26"/>
        </w:rPr>
        <w:t>1. Miễn học phí đối với: học sinh thuộc hộ nghèo; học sinh khuyết tật; học sinh là con của người có công với cách mạng; học sinh mồ côi cả cha và mẹ; học sinh học tại các xã có điều kiện kinh tế - xã hội đặc biệt khó khăn.</w:t>
      </w:r>
    </w:p>
    <w:p>
      <w:pPr>
        <w:spacing w:after="80"/>
        <w:ind w:firstLine="680"/>
        <w:jc w:val="both"/>
      </w:pPr>
      <w:r>
        <w:rPr>
          <w:rFonts w:ascii="Times New Roman" w:hAnsi="Times New Roman"/>
          <w:b w:val="0"/>
          <w:i w:val="0"/>
          <w:sz w:val="26"/>
        </w:rPr>
        <w:t>2. Giảm 70% học phí đối với học sinh là người dân tộc thiểu số ở xã khó khăn; giảm 50% học phí đối với học sinh thuộc hộ cận nghèo và học sinh có cha hoặc mẹ bị tai nạn lao động đang hưởng trợ cấp hằng tháng.</w:t>
      </w:r>
    </w:p>
    <w:p>
      <w:pPr>
        <w:spacing w:after="80"/>
        <w:ind w:firstLine="680"/>
        <w:jc w:val="both"/>
      </w:pPr>
      <w:r>
        <w:rPr>
          <w:rFonts w:ascii="Times New Roman" w:hAnsi="Times New Roman"/>
          <w:b w:val="0"/>
          <w:i w:val="0"/>
          <w:sz w:val="26"/>
        </w:rPr>
        <w:t>3. Hỗ trợ chi phí học tập 150.000 đồng/học sinh/tháng đối với học sinh thuộc diện được miễn học phí quy định tại khoản 1 Điều này, thời gian hưởng 9 tháng/năm học.</w:t>
      </w:r>
    </w:p>
    <w:p>
      <w:pPr>
        <w:spacing w:after="80"/>
        <w:ind w:firstLine="680"/>
      </w:pPr>
      <w:r>
        <w:rPr>
          <w:rFonts w:ascii="Times New Roman" w:hAnsi="Times New Roman"/>
          <w:b/>
          <w:i w:val="0"/>
          <w:sz w:val="26"/>
        </w:rPr>
        <w:t>Điều 4. Tổ chức thực hiện</w:t>
      </w:r>
    </w:p>
    <w:p>
      <w:pPr>
        <w:spacing w:after="80"/>
        <w:ind w:firstLine="680"/>
        <w:jc w:val="both"/>
      </w:pPr>
      <w:r>
        <w:rPr>
          <w:rFonts w:ascii="Times New Roman" w:hAnsi="Times New Roman"/>
          <w:b w:val="0"/>
          <w:i w:val="0"/>
          <w:sz w:val="26"/>
        </w:rPr>
        <w:t>1. Giao Ủy ban nhân dân Thành phố Giả tổ chức triển khai thực hiện Nghị quyết; chỉ đạo Sở Giáo dục và Đào tạo hướng dẫn các cơ sở giáo dục công khai mức thu học phí và các khoản thu khác từ đầu năm học.</w:t>
      </w:r>
    </w:p>
    <w:p>
      <w:pPr>
        <w:spacing w:after="80"/>
        <w:ind w:firstLine="680"/>
        <w:jc w:val="both"/>
      </w:pPr>
      <w:r>
        <w:rPr>
          <w:rFonts w:ascii="Times New Roman" w:hAnsi="Times New Roman"/>
          <w:b w:val="0"/>
          <w:i w:val="0"/>
          <w:sz w:val="26"/>
        </w:rPr>
        <w:t>2. Nghị quyết này áp dụng từ năm học 2026-2027 và thay thế Nghị quyết số 09/2025/NQ-HĐND ngày 12/7/2025 của Hội đồng nhân dân Thành phố Giả.</w:t>
      </w:r>
    </w:p>
    <w:p/>
    <w:p>
      <w:pPr>
        <w:spacing w:after="80"/>
        <w:jc w:val="center"/>
      </w:pPr>
      <w:r>
        <w:rPr>
          <w:rFonts w:ascii="Times New Roman" w:hAnsi="Times New Roman"/>
          <w:b/>
          <w:i w:val="0"/>
          <w:sz w:val="26"/>
        </w:rPr>
        <w:t>LẤY Ý KIẾN GÓP Ý ĐỐI VỚI DỰ THẢO</w:t>
      </w:r>
    </w:p>
    <w:p>
      <w:pPr>
        <w:spacing w:after="80"/>
        <w:ind w:firstLine="680"/>
        <w:jc w:val="both"/>
      </w:pPr>
      <w:r>
        <w:rPr>
          <w:rFonts w:ascii="Times New Roman" w:hAnsi="Times New Roman"/>
          <w:b w:val="0"/>
          <w:i w:val="0"/>
          <w:sz w:val="26"/>
        </w:rPr>
        <w:t>Ủy ban nhân dân Thành phố Giả tổ chức lấy ý kiến của các cơ quan, tổ chức, cá nhân đối với dự thảo Nghị quyết quy định mức thu học phí năm học 2026-2027. Thời hạn góp ý đến hết ngày 30/9/2026. Văn bản góp ý gửi về Văn phòng Ủy ban nhân dân Thành phố Giả, số 01 đại lộ Giả Định, phường Trung Tâm, TP. Giả hoặc gửi qua thư điện tử theo địa chỉ gopy@tpgia.gov.vn. Điện thoại liên hệ: 0238.3.999.000.</w:t>
      </w:r>
    </w:p>
    <w:p>
      <w:pPr>
        <w:spacing w:after="80"/>
        <w:ind w:firstLine="680"/>
        <w:jc w:val="both"/>
      </w:pPr>
      <w:r>
        <w:rPr>
          <w:rFonts w:ascii="Times New Roman" w:hAnsi="Times New Roman"/>
          <w:b w:val="0"/>
          <w:i/>
          <w:sz w:val="26"/>
        </w:rPr>
        <w:t>Ghi chú: Mức thu học phí trung học phổ thông công lập dự kiến là 120.000 đồng/học sinh/tháng, thu 9 tháng trong năm học; trung học cơ sở 60.000 đồng/học sinh/tháng; giáo dục mầm non 100.000 đồng/học sinh/tháng. Mức thu chính thức được áp dụng sau khi Hội đồng nhân dân thành phố thông qua.</w:t>
      </w:r>
    </w:p>
    <w:p/>
    <w:tbl>
      <w:tblPr>
        <w:tblW w:type="auto" w:w="0"/>
        <w:tblLayout w:type="fixed"/>
        <w:tblLook w:firstColumn="1" w:firstRow="1" w:lastColumn="0" w:lastRow="0" w:noHBand="0" w:noVBand="1" w:val="04A0"/>
      </w:tblPr>
      <w:tblGrid>
        <w:gridCol w:w="4989"/>
        <w:gridCol w:w="4082"/>
      </w:tblGrid>
      <w:tr>
        <w:tc>
          <w:tcPr>
            <w:tcW w:type="dxa" w:w="4535"/>
          </w:tcPr>
          <w:p>
            <w:r/>
            <w:r>
              <w:rPr>
                <w:b/>
                <w:i/>
                <w:sz w:val="23"/>
              </w:rPr>
              <w:t>Nơi nhận:</w:t>
            </w:r>
          </w:p>
          <w:p>
            <w:pPr>
              <w:spacing w:after="0"/>
            </w:pPr>
            <w:r>
              <w:rPr>
                <w:sz w:val="22"/>
              </w:rPr>
              <w:t>- Các sở, ban, ngành thành phố;</w:t>
            </w:r>
          </w:p>
          <w:p>
            <w:pPr>
              <w:spacing w:after="0"/>
            </w:pPr>
            <w:r>
              <w:rPr>
                <w:sz w:val="22"/>
              </w:rPr>
              <w:t>- UBND các phường, xã;</w:t>
            </w:r>
          </w:p>
          <w:p>
            <w:pPr>
              <w:spacing w:after="0"/>
            </w:pPr>
            <w:r>
              <w:rPr>
                <w:sz w:val="22"/>
              </w:rPr>
              <w:t>- Các cơ sở giáo dục công lập;</w:t>
            </w:r>
          </w:p>
          <w:p>
            <w:pPr>
              <w:spacing w:after="0"/>
            </w:pPr>
            <w:r>
              <w:rPr>
                <w:sz w:val="22"/>
              </w:rPr>
              <w:t>- Cổng TTĐT thành phố (đăng tải lấy ý kiến);</w:t>
            </w:r>
          </w:p>
          <w:p>
            <w:pPr>
              <w:spacing w:after="0"/>
            </w:pPr>
            <w:r>
              <w:rPr>
                <w:sz w:val="22"/>
              </w:rPr>
              <w:t>- Lưu: VT;</w:t>
            </w:r>
          </w:p>
        </w:tc>
        <w:tc>
          <w:tcPr>
            <w:tcW w:type="dxa" w:w="4535"/>
          </w:tcPr>
          <w:p>
            <w:pPr>
              <w:spacing w:after="0"/>
              <w:jc w:val="center"/>
            </w:pPr>
            <w:r/>
            <w:r>
              <w:rPr>
                <w:b/>
                <w:sz w:val="25"/>
              </w:rPr>
              <w:t>TM. HỘI ĐỒNG NHÂN DÂN</w:t>
            </w:r>
          </w:p>
          <w:p>
            <w:pPr>
              <w:spacing w:after="0"/>
              <w:jc w:val="center"/>
            </w:pPr>
            <w:r>
              <w:rPr>
                <w:b/>
                <w:sz w:val="25"/>
              </w:rPr>
              <w:t>CHỦ TỊCH</w:t>
            </w:r>
          </w:p>
          <w:p/>
          <w:p/>
          <w:p>
            <w:pPr>
              <w:jc w:val="center"/>
            </w:pPr>
            <w:r>
              <w:rPr>
                <w:b/>
                <w:sz w:val="26"/>
              </w:rPr>
              <w:t>Nguyễn Hữu Thắng</w:t>
            </w:r>
          </w:p>
        </w:tc>
      </w:tr>
    </w:tbl>
    <w:sectPr w:rsidR="00FC693F" w:rsidRPr="0006063C" w:rsidSect="00034616">
      <w:pgSz w:w="11906" w:h="16838"/>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cs="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